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8B703D" w:rsidRDefault="00DC47E2" w:rsidP="00B22AAD">
      <w:pPr>
        <w:rPr>
          <w:sz w:val="2"/>
          <w:szCs w:val="2"/>
          <w:lang w:val="en-US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1335A0">
        <w:trPr>
          <w:trHeight w:val="1686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5E3943">
              <w:rPr>
                <w:shd w:val="clear" w:color="auto" w:fill="FFFFFF" w:themeFill="background1"/>
              </w:rPr>
            </w:r>
            <w:r w:rsidR="005E3943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B44D5F">
        <w:trPr>
          <w:trHeight w:val="589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1093728" w:rsidR="00DC47E2" w:rsidRPr="00822FA0" w:rsidRDefault="00B44D5F" w:rsidP="00295D4D">
            <w:pPr>
              <w:rPr>
                <w:highlight w:val="yellow"/>
              </w:rPr>
            </w:pPr>
            <w:r w:rsidRPr="00B44D5F">
              <w:t xml:space="preserve">Проект </w:t>
            </w:r>
            <w:r w:rsidR="00295D4D">
              <w:t xml:space="preserve">на </w:t>
            </w:r>
            <w:r w:rsidR="00865E04" w:rsidRPr="00865E04">
              <w:t xml:space="preserve">Постановление на Министерския съвет за приемане на Наредба за Единния публичен регистър по устройство на територията 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5E3943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1335A0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3DE3C9FD" w:rsidR="00DC47E2" w:rsidRPr="00DC47E2" w:rsidRDefault="00992A81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4.3pt;height:27.1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1335A0">
        <w:trPr>
          <w:trHeight w:val="12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46BF4233" w:rsidR="00DC47E2" w:rsidRPr="00622B1B" w:rsidRDefault="00865E04" w:rsidP="001178C4">
            <w:pPr>
              <w:jc w:val="left"/>
              <w:rPr>
                <w:highlight w:val="yellow"/>
              </w:rPr>
            </w:pPr>
            <w:r w:rsidRPr="00865E04">
              <w:t>70-00-1020-178/18.03.2026</w:t>
            </w:r>
          </w:p>
        </w:tc>
      </w:tr>
      <w:tr w:rsidR="00DC47E2" w:rsidRPr="00DC47E2" w14:paraId="28582966" w14:textId="77777777" w:rsidTr="001335A0">
        <w:trPr>
          <w:trHeight w:val="18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60794BA7" w14:textId="506F58AB" w:rsidR="00DC47E2" w:rsidRPr="00010B2B" w:rsidRDefault="00865E04" w:rsidP="00622B1B">
            <w:pPr>
              <w:jc w:val="left"/>
              <w:rPr>
                <w:highlight w:val="yellow"/>
              </w:rPr>
            </w:pPr>
            <w:r>
              <w:t>Министерство на регионалното развитие и благоустройството</w:t>
            </w:r>
          </w:p>
        </w:tc>
      </w:tr>
      <w:tr w:rsidR="00DC47E2" w:rsidRPr="00DC47E2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DC47E2" w:rsidRPr="00010B2B" w:rsidRDefault="004761B1" w:rsidP="00C56E4D">
            <w:pPr>
              <w:spacing w:line="240" w:lineRule="auto"/>
              <w:jc w:val="left"/>
              <w:rPr>
                <w:highlight w:val="yellow"/>
              </w:rPr>
            </w:pPr>
            <w:r w:rsidRPr="00B44D5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B44D5F">
              <w:instrText xml:space="preserve"> FORMDROPDOWN </w:instrText>
            </w:r>
            <w:r w:rsidR="005E3943">
              <w:fldChar w:fldCharType="separate"/>
            </w:r>
            <w:r w:rsidRPr="00B44D5F">
              <w:fldChar w:fldCharType="end"/>
            </w:r>
            <w:bookmarkEnd w:id="1"/>
          </w:p>
        </w:tc>
      </w:tr>
      <w:tr w:rsidR="00DC47E2" w:rsidRPr="00DC47E2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E83DC8" w:rsidRDefault="00DC47E2" w:rsidP="00C56E4D">
            <w:pPr>
              <w:spacing w:line="240" w:lineRule="auto"/>
              <w:jc w:val="left"/>
            </w:pPr>
            <w:r w:rsidRPr="00E83DC8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603099" w:rsidR="00DC47E2" w:rsidRPr="00E83DC8" w:rsidRDefault="00622B1B" w:rsidP="00C56E4D">
            <w:pPr>
              <w:spacing w:line="240" w:lineRule="auto"/>
              <w:jc w:val="left"/>
            </w:pPr>
            <w:r w:rsidRPr="00E83DC8">
              <w:t xml:space="preserve"> </w:t>
            </w:r>
            <w:r w:rsidR="002808DA" w:rsidRPr="00E83DC8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="002808DA" w:rsidRPr="00E83DC8">
              <w:instrText xml:space="preserve"> FORMDROPDOWN </w:instrText>
            </w:r>
            <w:r w:rsidR="005E3943">
              <w:fldChar w:fldCharType="separate"/>
            </w:r>
            <w:r w:rsidR="002808DA" w:rsidRPr="00E83DC8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1E2CF6E0" w14:textId="77777777" w:rsidR="00DC47E2" w:rsidRDefault="00DC47E2" w:rsidP="00B22AAD"/>
    <w:p w14:paraId="45471482" w14:textId="77777777" w:rsidR="000650F2" w:rsidRDefault="000650F2" w:rsidP="00B22AAD"/>
    <w:p w14:paraId="3E1B25E2" w14:textId="0BFB79F4" w:rsidR="001333E0" w:rsidRPr="007B3927" w:rsidRDefault="001333E0" w:rsidP="00B22AAD">
      <w:pPr>
        <w:sectPr w:rsidR="001333E0" w:rsidRPr="007B3927" w:rsidSect="00C60287">
          <w:footerReference w:type="default" r:id="rId9"/>
          <w:footerReference w:type="first" r:id="rId10"/>
          <w:type w:val="continuous"/>
          <w:pgSz w:w="11906" w:h="16838"/>
          <w:pgMar w:top="1134" w:right="1418" w:bottom="1134" w:left="1418" w:header="283" w:footer="454" w:gutter="0"/>
          <w:cols w:space="708"/>
          <w:titlePg/>
          <w:docGrid w:linePitch="360"/>
        </w:sectPr>
      </w:pPr>
    </w:p>
    <w:tbl>
      <w:tblPr>
        <w:tblStyle w:val="TableGrid"/>
        <w:tblW w:w="1000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E2F6D" w:rsidRPr="00B77CDA" w14:paraId="54E3E36B" w14:textId="77777777" w:rsidTr="00AB2914">
        <w:tc>
          <w:tcPr>
            <w:tcW w:w="10004" w:type="dxa"/>
            <w:shd w:val="clear" w:color="auto" w:fill="FFFFFF" w:themeFill="background1"/>
          </w:tcPr>
          <w:p w14:paraId="313A22E0" w14:textId="48822678" w:rsidR="0093154E" w:rsidRDefault="003A7BCC" w:rsidP="0093154E">
            <w:pPr>
              <w:pStyle w:val="Heading1"/>
              <w:outlineLvl w:val="0"/>
            </w:pPr>
            <w:r w:rsidRPr="00B77CDA">
              <w:t> </w:t>
            </w:r>
            <w:r w:rsidR="00C9479B" w:rsidRPr="00B77CDA">
              <w:t>Относно раздел 1 „Проблем/проблеми за решаване“:</w:t>
            </w:r>
          </w:p>
          <w:p w14:paraId="75172696" w14:textId="259DD0D8" w:rsidR="008F6AD0" w:rsidRPr="003225FB" w:rsidRDefault="008F6AD0" w:rsidP="002D06F0">
            <w:pPr>
              <w:pStyle w:val="02"/>
            </w:pPr>
            <w:r w:rsidRPr="003225FB">
              <w:t xml:space="preserve">Проблемът следва да бъде формулиран по начин, който показва какво в съществуващото положение не функционира добре и кои са неблагоприятните последици, произтичащи от </w:t>
            </w:r>
            <w:r w:rsidR="003225FB" w:rsidRPr="000A57D9">
              <w:t>това</w:t>
            </w:r>
            <w:r w:rsidRPr="003225FB">
              <w:t xml:space="preserve">. Необходимо е да се посочи каква конкретна практическа, административна или обществена необходимост налага намесата. В случая това би следвало да </w:t>
            </w:r>
            <w:r w:rsidR="003225FB" w:rsidRPr="000A57D9">
              <w:t xml:space="preserve">се посочи, че </w:t>
            </w:r>
            <w:r w:rsidR="003225FB" w:rsidRPr="003225FB">
              <w:t>липсата на подзаконова уредба относно Единния регистър</w:t>
            </w:r>
            <w:r w:rsidR="003225FB" w:rsidRPr="000A57D9">
              <w:t xml:space="preserve"> води от своя страна до</w:t>
            </w:r>
            <w:r w:rsidRPr="003225FB">
              <w:t xml:space="preserve"> липсата на единен, централен и стандартизиран подход за публикуване, поддържане и използване на информацията по устройство на територията</w:t>
            </w:r>
            <w:r w:rsidR="003225FB" w:rsidRPr="000A57D9">
              <w:t>. Резултатът от това е</w:t>
            </w:r>
            <w:r w:rsidRPr="003225FB">
              <w:t xml:space="preserve"> разпокъсаност на данните, затруднен достъп, по-ниска прозрачност и неефективност за администрацията, гражданите и бизнеса.</w:t>
            </w:r>
          </w:p>
          <w:p w14:paraId="2255EB04" w14:textId="124D102A" w:rsidR="008F6AD0" w:rsidRDefault="00D92159" w:rsidP="002D06F0">
            <w:pPr>
              <w:pStyle w:val="02"/>
            </w:pPr>
            <w:r w:rsidRPr="003225FB">
              <w:t xml:space="preserve">Предлагаме да </w:t>
            </w:r>
            <w:r w:rsidR="008F6AD0" w:rsidRPr="003225FB">
              <w:t>се посочи, че към момента информацията</w:t>
            </w:r>
            <w:r w:rsidR="008F6AD0">
              <w:t xml:space="preserve"> за актовете по устройство на територията се поддържа в отделни регистри, които се различават по структура, съдържание и степен на актуалност. Това води до:</w:t>
            </w:r>
          </w:p>
          <w:p w14:paraId="5525B525" w14:textId="77777777" w:rsidR="008F6AD0" w:rsidRDefault="008F6AD0" w:rsidP="008F6AD0">
            <w:pPr>
              <w:spacing w:line="360" w:lineRule="auto"/>
              <w:ind w:firstLine="720"/>
            </w:pPr>
            <w:r>
              <w:t>– затруднен достъп до информация;</w:t>
            </w:r>
          </w:p>
          <w:p w14:paraId="22A32B3A" w14:textId="77777777" w:rsidR="008F6AD0" w:rsidRDefault="008F6AD0" w:rsidP="008F6AD0">
            <w:pPr>
              <w:spacing w:line="360" w:lineRule="auto"/>
              <w:ind w:firstLine="720"/>
            </w:pPr>
            <w:r>
              <w:t>– необходимост от многократно търсене;</w:t>
            </w:r>
          </w:p>
          <w:p w14:paraId="68BE214A" w14:textId="77777777" w:rsidR="008F6AD0" w:rsidRDefault="008F6AD0" w:rsidP="008F6AD0">
            <w:pPr>
              <w:spacing w:line="360" w:lineRule="auto"/>
              <w:ind w:firstLine="720"/>
            </w:pPr>
            <w:r>
              <w:t>– липса на възможност за автоматизиран обмен на данни;</w:t>
            </w:r>
          </w:p>
          <w:p w14:paraId="79778B10" w14:textId="3171DC99" w:rsidR="008F6AD0" w:rsidRPr="008F6AD0" w:rsidRDefault="008F6AD0" w:rsidP="00D92159">
            <w:pPr>
              <w:spacing w:line="360" w:lineRule="auto"/>
              <w:ind w:firstLine="720"/>
            </w:pPr>
            <w:r>
              <w:t>– повишена административна тежест.</w:t>
            </w:r>
          </w:p>
          <w:p w14:paraId="79779D21" w14:textId="136DF6CE" w:rsidR="00B71A34" w:rsidRDefault="00B71A34" w:rsidP="0008329B">
            <w:pPr>
              <w:pStyle w:val="02"/>
              <w:spacing w:before="120"/>
              <w:rPr>
                <w:b/>
                <w:bCs/>
              </w:rPr>
            </w:pPr>
            <w:r w:rsidRPr="0055711E">
              <w:rPr>
                <w:b/>
                <w:bCs/>
              </w:rPr>
              <w:lastRenderedPageBreak/>
              <w:t>II</w:t>
            </w:r>
            <w:r w:rsidR="00E83DC8">
              <w:rPr>
                <w:b/>
                <w:bCs/>
                <w:lang w:val="en-US"/>
              </w:rPr>
              <w:t>.</w:t>
            </w:r>
            <w:r w:rsidRPr="0055711E">
              <w:rPr>
                <w:b/>
                <w:bCs/>
              </w:rPr>
              <w:tab/>
              <w:t xml:space="preserve">Относно раздел </w:t>
            </w:r>
            <w:r w:rsidR="002364FF">
              <w:rPr>
                <w:b/>
                <w:bCs/>
              </w:rPr>
              <w:t>2</w:t>
            </w:r>
            <w:r w:rsidR="002364FF">
              <w:rPr>
                <w:b/>
                <w:bCs/>
                <w:lang w:val="en-US"/>
              </w:rPr>
              <w:t xml:space="preserve"> </w:t>
            </w:r>
            <w:r w:rsidR="002364FF">
              <w:rPr>
                <w:b/>
                <w:bCs/>
              </w:rPr>
              <w:t>„Цели“</w:t>
            </w:r>
            <w:r w:rsidR="00E83DC8" w:rsidRPr="00E83DC8">
              <w:rPr>
                <w:b/>
                <w:bCs/>
              </w:rPr>
              <w:t>:</w:t>
            </w:r>
          </w:p>
          <w:p w14:paraId="292484E9" w14:textId="78C5BAAF" w:rsidR="00D92159" w:rsidRPr="00D92159" w:rsidRDefault="00D92159" w:rsidP="002D06F0">
            <w:pPr>
              <w:pStyle w:val="02"/>
            </w:pPr>
            <w:r w:rsidRPr="00D92159">
              <w:t xml:space="preserve">Целите в частичната предварителна оценка на въздействието следва да бъдат формулирани като желано </w:t>
            </w:r>
            <w:r w:rsidRPr="002D06F0">
              <w:t>бъдещо</w:t>
            </w:r>
            <w:r w:rsidRPr="00D92159">
              <w:t xml:space="preserve"> състояние, произтичащо пряко от идентифицираните проблеми. В случая като цел е посочен инструментът, чрез който ще се реши установеният проблем – приемането на наредбата.</w:t>
            </w:r>
          </w:p>
          <w:p w14:paraId="790BAA52" w14:textId="02F1ADB5" w:rsidR="00D92159" w:rsidRPr="00D92159" w:rsidRDefault="0008329B" w:rsidP="002D06F0">
            <w:pPr>
              <w:pStyle w:val="02"/>
            </w:pPr>
            <w:r w:rsidRPr="0008329B">
              <w:t xml:space="preserve">Предлагаме </w:t>
            </w:r>
            <w:r w:rsidRPr="002D06F0">
              <w:t>целите</w:t>
            </w:r>
            <w:r w:rsidRPr="0008329B">
              <w:t xml:space="preserve"> да бъдат формулирани по начин, който описва търсения резултат, като например:</w:t>
            </w:r>
          </w:p>
          <w:p w14:paraId="4F91F729" w14:textId="77777777" w:rsidR="00D92159" w:rsidRPr="00D92159" w:rsidRDefault="00D92159" w:rsidP="00D92159">
            <w:pPr>
              <w:pStyle w:val="02"/>
              <w:spacing w:after="0"/>
            </w:pPr>
            <w:r w:rsidRPr="00D92159">
              <w:t>– създаване на единен електронен регистър с централизирана база данни;</w:t>
            </w:r>
          </w:p>
          <w:p w14:paraId="2DC3C4F9" w14:textId="77777777" w:rsidR="00D92159" w:rsidRPr="00D92159" w:rsidRDefault="00D92159" w:rsidP="00D92159">
            <w:pPr>
              <w:pStyle w:val="02"/>
              <w:spacing w:after="0"/>
            </w:pPr>
            <w:r w:rsidRPr="00D92159">
              <w:t>– осигуряване на публичен достъп до актовете по ЗУТ;</w:t>
            </w:r>
          </w:p>
          <w:p w14:paraId="4A685F92" w14:textId="77777777" w:rsidR="00D92159" w:rsidRPr="00D92159" w:rsidRDefault="00D92159" w:rsidP="00D92159">
            <w:pPr>
              <w:pStyle w:val="02"/>
              <w:spacing w:after="0"/>
            </w:pPr>
            <w:r w:rsidRPr="00D92159">
              <w:t>– намаляване на времето за търсене на информация;</w:t>
            </w:r>
          </w:p>
          <w:p w14:paraId="48F73041" w14:textId="21273916" w:rsidR="00D92159" w:rsidRDefault="00D92159" w:rsidP="00D92159">
            <w:pPr>
              <w:pStyle w:val="02"/>
              <w:spacing w:after="0"/>
            </w:pPr>
            <w:r w:rsidRPr="00D92159">
              <w:t>– осигуряване на служебен обмен на данни между администрациите.</w:t>
            </w:r>
          </w:p>
          <w:p w14:paraId="7FDA4B44" w14:textId="446BF0DF" w:rsidR="003225FB" w:rsidRPr="00D92159" w:rsidRDefault="003225FB" w:rsidP="002D06F0">
            <w:pPr>
              <w:pStyle w:val="02"/>
            </w:pPr>
            <w:r w:rsidRPr="002D06F0">
              <w:t>Способът</w:t>
            </w:r>
            <w:r>
              <w:t xml:space="preserve"> за постигане на целта е свързан със </w:t>
            </w:r>
            <w:r w:rsidRPr="003225FB">
              <w:t>създаване на</w:t>
            </w:r>
            <w:r>
              <w:t xml:space="preserve"> необходимата</w:t>
            </w:r>
            <w:r w:rsidRPr="003225FB">
              <w:t xml:space="preserve"> подзаконова нормативна уредба</w:t>
            </w:r>
            <w:r>
              <w:t>.</w:t>
            </w:r>
          </w:p>
          <w:p w14:paraId="2699F9C9" w14:textId="00B3101D" w:rsidR="005926F9" w:rsidRDefault="005F66D8" w:rsidP="0008329B">
            <w:pPr>
              <w:pStyle w:val="02"/>
              <w:spacing w:before="120"/>
              <w:rPr>
                <w:b/>
                <w:bCs/>
              </w:rPr>
            </w:pPr>
            <w:r w:rsidRPr="00E83DC8">
              <w:rPr>
                <w:b/>
                <w:bCs/>
              </w:rPr>
              <w:t>I</w:t>
            </w:r>
            <w:r w:rsidR="008F1A06">
              <w:rPr>
                <w:b/>
                <w:bCs/>
                <w:lang w:val="en-US"/>
              </w:rPr>
              <w:t>II</w:t>
            </w:r>
            <w:r w:rsidRPr="00E83DC8">
              <w:rPr>
                <w:b/>
                <w:bCs/>
              </w:rPr>
              <w:t xml:space="preserve">. Относно раздел </w:t>
            </w:r>
            <w:r w:rsidR="005926F9">
              <w:rPr>
                <w:b/>
                <w:bCs/>
              </w:rPr>
              <w:t>3 „Заинтересовани страни“:</w:t>
            </w:r>
          </w:p>
          <w:p w14:paraId="130193E8" w14:textId="4D760060" w:rsidR="0008329B" w:rsidRPr="0008329B" w:rsidRDefault="0008329B" w:rsidP="002D06F0">
            <w:pPr>
              <w:pStyle w:val="02"/>
            </w:pPr>
            <w:r w:rsidRPr="0008329B">
              <w:t xml:space="preserve">Списъкът на заинтересованите страни включва физически и юридически лица като заявители на услуги по устройствено планиране, инвестиционно проектиране и въвеждане в експлоатация на строежите. В този смисъл част от реалните ползватели на информацията от регистъра вече са обхванати </w:t>
            </w:r>
            <w:r w:rsidRPr="002D06F0">
              <w:t>общо</w:t>
            </w:r>
            <w:r w:rsidRPr="0008329B">
              <w:t xml:space="preserve"> в тази категория. Същевременно заинтересованите страни не са разграничени в достатъчна степен според различните групи ползватели, върху които предложенията ще окажат пряко или косвено въздействие.</w:t>
            </w:r>
          </w:p>
          <w:p w14:paraId="704756E1" w14:textId="792D630F" w:rsidR="0008329B" w:rsidRDefault="000A57D9" w:rsidP="00522700">
            <w:pPr>
              <w:pStyle w:val="02"/>
              <w:rPr>
                <w:lang w:val="en-US"/>
              </w:rPr>
            </w:pPr>
            <w:r>
              <w:t>Считаме за</w:t>
            </w:r>
            <w:r w:rsidR="0008329B" w:rsidRPr="0008329B">
              <w:t xml:space="preserve"> целесъобразно по-ясно да се открои, че сред тези ползватели попадат инвеститори и предприемачи, представители на бизнеса в строителния сектор, професионални общности и граждани, които използват информацията не само в качеството си на заявители на услуги, но и за целите на </w:t>
            </w:r>
            <w:r w:rsidR="0008329B" w:rsidRPr="00522700">
              <w:t>информираност</w:t>
            </w:r>
            <w:r w:rsidR="0008329B" w:rsidRPr="0008329B">
              <w:t xml:space="preserve">, планиране и прозрачност. Това се потвърждава и от анализа на въздействията, в който изрично са посочени малките и средните предприятия. </w:t>
            </w:r>
            <w:r w:rsidR="00CB2528">
              <w:t>В тази връзка, предлагаме</w:t>
            </w:r>
            <w:r w:rsidR="0008329B" w:rsidRPr="0008329B">
              <w:t xml:space="preserve"> тези групи да бъдат по-ясно </w:t>
            </w:r>
            <w:r w:rsidR="003225FB">
              <w:t>обособени</w:t>
            </w:r>
            <w:r w:rsidR="003225FB" w:rsidRPr="0008329B">
              <w:t xml:space="preserve"> </w:t>
            </w:r>
            <w:r w:rsidR="0008329B" w:rsidRPr="0008329B">
              <w:t>и в раздел 3</w:t>
            </w:r>
            <w:r w:rsidR="003225FB">
              <w:t>, като</w:t>
            </w:r>
            <w:r w:rsidR="0008329B" w:rsidRPr="0008329B">
              <w:t xml:space="preserve"> се представи и налична статистическа информация относно броя на заявителите на услуги по устройствено планиране, инвестиционно проектиране и въвеждане в експлоатация на строежите.</w:t>
            </w:r>
          </w:p>
          <w:p w14:paraId="7DA5E711" w14:textId="707DD32B" w:rsidR="005926F9" w:rsidRPr="00E460F6" w:rsidRDefault="008F1A06" w:rsidP="005926F9">
            <w:pPr>
              <w:pStyle w:val="02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="00E460F6">
              <w:rPr>
                <w:b/>
                <w:bCs/>
                <w:lang w:val="en-US"/>
              </w:rPr>
              <w:t>V</w:t>
            </w:r>
            <w:r w:rsidR="005926F9" w:rsidRPr="00E460F6">
              <w:rPr>
                <w:b/>
                <w:bCs/>
              </w:rPr>
              <w:t xml:space="preserve">. Относно раздел 4 „Варианти на </w:t>
            </w:r>
            <w:r w:rsidR="00A46066" w:rsidRPr="00E460F6">
              <w:rPr>
                <w:b/>
                <w:bCs/>
              </w:rPr>
              <w:t>действие“</w:t>
            </w:r>
            <w:r w:rsidR="005926F9" w:rsidRPr="00E460F6">
              <w:rPr>
                <w:b/>
                <w:bCs/>
              </w:rPr>
              <w:t xml:space="preserve">. Анализ на въздействията: </w:t>
            </w:r>
          </w:p>
          <w:p w14:paraId="0B35EF59" w14:textId="3ECB6AFB" w:rsidR="00D92159" w:rsidRDefault="00D92159" w:rsidP="00522700">
            <w:pPr>
              <w:pStyle w:val="02"/>
            </w:pPr>
            <w:r>
              <w:lastRenderedPageBreak/>
              <w:t xml:space="preserve">В описанието на Вариант 1 „Без действие“ коректно е посочено, че няма да бъдат нормативно уредени условията и редът за публикуване и поддържане в актуален вид на информацията в </w:t>
            </w:r>
            <w:r w:rsidRPr="00522700">
              <w:t>ЕПРУТ</w:t>
            </w:r>
            <w:r>
              <w:t xml:space="preserve"> и че няма да бъде възможно въвеждането на регистъра в експлоатация</w:t>
            </w:r>
            <w:r w:rsidR="000A57D9">
              <w:t>, както и регламентирането на единен нормативно установен ред и създаването на общи правила относно съдържанието, структурата, сроковете и начина на публикуване на информацията</w:t>
            </w:r>
            <w:r>
              <w:t xml:space="preserve">. За по-пълен анализ е необходимо по-ясно да се </w:t>
            </w:r>
            <w:r w:rsidR="00CB2528">
              <w:t>посочи</w:t>
            </w:r>
            <w:r>
              <w:t>, че този вариант на практика означава запазване на действащото положение</w:t>
            </w:r>
            <w:r w:rsidR="00CD1C84">
              <w:t>,</w:t>
            </w:r>
            <w:r>
              <w:t xml:space="preserve"> без промяна в съществуващия модел на публикуване и поддържане на информацията.</w:t>
            </w:r>
          </w:p>
          <w:p w14:paraId="1291B7E6" w14:textId="754A79DB" w:rsidR="00D92159" w:rsidRDefault="00D92159" w:rsidP="00522700">
            <w:pPr>
              <w:pStyle w:val="02"/>
            </w:pPr>
            <w:r>
              <w:t>По този начин</w:t>
            </w:r>
            <w:r w:rsidR="000A57D9">
              <w:t>,</w:t>
            </w:r>
            <w:r>
              <w:t xml:space="preserve"> описанието на варианта ще отразява не само отсъствието на нормативна промяна, но и конкретното съдържание на запазваното съществуващо положение.</w:t>
            </w:r>
          </w:p>
          <w:p w14:paraId="75C74927" w14:textId="1D0FFE4E" w:rsidR="00B11755" w:rsidRDefault="00B11755" w:rsidP="00522700">
            <w:pPr>
              <w:pStyle w:val="02"/>
            </w:pPr>
            <w:r>
              <w:t xml:space="preserve">Предлагаме да се отбележи, че при този вариант на действие административната тежест върху </w:t>
            </w:r>
            <w:r w:rsidRPr="00522700">
              <w:t>заинтересованите</w:t>
            </w:r>
            <w:r>
              <w:t xml:space="preserve"> страни ще продължи да се увеличава. </w:t>
            </w:r>
          </w:p>
          <w:p w14:paraId="2D331149" w14:textId="35B4CC34" w:rsidR="00D92159" w:rsidRDefault="00D92159" w:rsidP="00522700">
            <w:pPr>
              <w:pStyle w:val="02"/>
            </w:pPr>
            <w:r w:rsidRPr="007F6F41">
              <w:t xml:space="preserve">Описанието на Вариант 2 следва да се допълни, така че по-ясно да се изведе какво включва самият вариант като регулаторно решение, а не само какви ползи се очакват от прилагането му. </w:t>
            </w:r>
            <w:r w:rsidR="007F6F41" w:rsidRPr="007F6F41">
              <w:t>П</w:t>
            </w:r>
            <w:r w:rsidRPr="007F6F41">
              <w:t xml:space="preserve">осочено </w:t>
            </w:r>
            <w:r w:rsidR="007F6F41" w:rsidRPr="007F6F41">
              <w:t>е</w:t>
            </w:r>
            <w:r w:rsidRPr="007F6F41">
              <w:t>, че с приемането на наредбата ще стане възможно въвеждането в експлоатация на регистъра,</w:t>
            </w:r>
            <w:r w:rsidR="007F6F41" w:rsidRPr="007F6F41">
              <w:t xml:space="preserve"> като са засегнати и отделни елементи на предл</w:t>
            </w:r>
            <w:r w:rsidR="007F6F41">
              <w:t>ожените действия</w:t>
            </w:r>
            <w:r w:rsidR="007F6F41" w:rsidRPr="007F6F41">
              <w:t>, но те не са изведени достатъчно ясно и систематизирано като съдържание на самия вариант на действие.</w:t>
            </w:r>
          </w:p>
          <w:p w14:paraId="1B2AF410" w14:textId="2E347E9B" w:rsidR="00D92159" w:rsidRDefault="00CB2528" w:rsidP="00522700">
            <w:pPr>
              <w:pStyle w:val="02"/>
            </w:pPr>
            <w:r>
              <w:t xml:space="preserve">Предлагаме </w:t>
            </w:r>
            <w:r w:rsidR="00D92159">
              <w:t xml:space="preserve">в описанието </w:t>
            </w:r>
            <w:r w:rsidR="00D92159" w:rsidRPr="00522700">
              <w:t>да</w:t>
            </w:r>
            <w:r w:rsidR="00D92159">
              <w:t xml:space="preserve"> се допълни, че при този вариант се предвижда:</w:t>
            </w:r>
          </w:p>
          <w:p w14:paraId="59E1DBC8" w14:textId="77777777" w:rsidR="00D92159" w:rsidRDefault="00D92159" w:rsidP="00D92159">
            <w:pPr>
              <w:pStyle w:val="02"/>
              <w:spacing w:after="0"/>
            </w:pPr>
            <w:r>
              <w:t>– определяне на органите, които публикуват и поддържат информация в регистъра;</w:t>
            </w:r>
          </w:p>
          <w:p w14:paraId="48B97CEB" w14:textId="77777777" w:rsidR="00D92159" w:rsidRDefault="00D92159" w:rsidP="00D92159">
            <w:pPr>
              <w:pStyle w:val="02"/>
              <w:spacing w:after="0"/>
            </w:pPr>
            <w:r>
              <w:t>– уреждане на условията и реда за публикуване, поддържане в актуален вид и достъп до информацията в ЕПРУТ;</w:t>
            </w:r>
          </w:p>
          <w:p w14:paraId="0EFA277B" w14:textId="77777777" w:rsidR="00D92159" w:rsidRDefault="00D92159" w:rsidP="00D92159">
            <w:pPr>
              <w:pStyle w:val="02"/>
              <w:spacing w:after="0"/>
            </w:pPr>
            <w:r>
              <w:t>– определяне на обхвата на актовете и документите, които подлежат на публикуване;</w:t>
            </w:r>
          </w:p>
          <w:p w14:paraId="2DC94093" w14:textId="77777777" w:rsidR="00D92159" w:rsidRDefault="00D92159" w:rsidP="00D92159">
            <w:pPr>
              <w:pStyle w:val="02"/>
              <w:spacing w:after="0"/>
            </w:pPr>
            <w:r>
              <w:t>– въвеждане на изисквания относно съдържанието, структурата и начина на публикуване на информацията;</w:t>
            </w:r>
          </w:p>
          <w:p w14:paraId="1CBF054C" w14:textId="77777777" w:rsidR="00D92159" w:rsidRDefault="00D92159" w:rsidP="00D92159">
            <w:pPr>
              <w:pStyle w:val="02"/>
              <w:spacing w:after="0"/>
            </w:pPr>
            <w:r>
              <w:t>– уреждане на сроковете за публикуване и актуализиране на информацията;</w:t>
            </w:r>
          </w:p>
          <w:p w14:paraId="5A1A2356" w14:textId="674AFAD5" w:rsidR="00D92159" w:rsidRDefault="00D92159" w:rsidP="00D92159">
            <w:pPr>
              <w:pStyle w:val="02"/>
              <w:spacing w:after="0"/>
            </w:pPr>
            <w:r>
              <w:t>– регламентиране на публичната и непубличната част на регистъра и достъпа до тях.</w:t>
            </w:r>
          </w:p>
          <w:p w14:paraId="2E3FC980" w14:textId="7CF3507F" w:rsidR="004A4997" w:rsidRDefault="004D1070" w:rsidP="00522700">
            <w:pPr>
              <w:pStyle w:val="02"/>
            </w:pPr>
            <w:r>
              <w:t>В</w:t>
            </w:r>
            <w:r w:rsidR="00D92159">
              <w:t xml:space="preserve"> описанието на този вариант следва да бъде включена и информацията, посочена в т. 6.2, относно </w:t>
            </w:r>
            <w:r w:rsidR="00D92159" w:rsidRPr="00522700">
              <w:t>актовете</w:t>
            </w:r>
            <w:r w:rsidR="00D92159">
              <w:t xml:space="preserve"> и документите, за които съгласно разпоредбите на ЗУТ ще се публикува и поддържа актуална информация в регистъра.</w:t>
            </w:r>
          </w:p>
          <w:p w14:paraId="0CF8E94F" w14:textId="77777777" w:rsidR="00B11755" w:rsidRDefault="00B11755" w:rsidP="00D92159">
            <w:pPr>
              <w:pStyle w:val="02"/>
              <w:spacing w:after="0"/>
              <w:rPr>
                <w:lang w:val="en-US"/>
              </w:rPr>
            </w:pPr>
            <w:r w:rsidRPr="00B11755">
              <w:rPr>
                <w:b/>
                <w:bCs/>
                <w:lang w:val="en-US"/>
              </w:rPr>
              <w:lastRenderedPageBreak/>
              <w:t>V.</w:t>
            </w:r>
            <w:r>
              <w:rPr>
                <w:lang w:val="en-US"/>
              </w:rPr>
              <w:t xml:space="preserve"> </w:t>
            </w:r>
            <w:r w:rsidRPr="00B11755">
              <w:rPr>
                <w:b/>
                <w:bCs/>
              </w:rPr>
              <w:t xml:space="preserve">Относно раздел 6.1. „Промяна в административната тежест за физическите и юридическите лица от прилагането на препоръчителния вариант (включително по отделните проблеми)“ </w:t>
            </w:r>
          </w:p>
          <w:p w14:paraId="1BEC5775" w14:textId="2C95AF60" w:rsidR="00B11755" w:rsidRPr="00584C7B" w:rsidRDefault="00361CE7" w:rsidP="00522700">
            <w:pPr>
              <w:pStyle w:val="02"/>
              <w:rPr>
                <w:color w:val="0563C1" w:themeColor="hyperlink"/>
                <w:u w:val="single"/>
                <w:lang w:val="en-US"/>
              </w:rPr>
            </w:pPr>
            <w:r w:rsidRPr="00361CE7">
              <w:t xml:space="preserve">По отношение </w:t>
            </w:r>
            <w:r w:rsidRPr="00522700">
              <w:t>на</w:t>
            </w:r>
            <w:r w:rsidRPr="00361CE7">
              <w:t xml:space="preserve"> административната тежест би било полезно вариантите да бъдат разгледани и сравнени и по този показател, доколкото нейното намаляване е сред основните стълбове на по-доброто регулиране. В случаите, </w:t>
            </w:r>
            <w:r w:rsidR="004473ED">
              <w:t>в които</w:t>
            </w:r>
            <w:r w:rsidRPr="00361CE7">
              <w:t xml:space="preserve"> се очаква промяна в административната тежест, включително нейното намаляване, подходящ метод за нейната оценка е Моделът на стандартните разходи, съответно </w:t>
            </w:r>
            <w:hyperlink r:id="rId11" w:history="1">
              <w:r w:rsidR="00B11755" w:rsidRPr="00B11755">
                <w:rPr>
                  <w:rStyle w:val="Hyperlink"/>
                </w:rPr>
                <w:t xml:space="preserve">Калкулаторът на Портала за обществени консултации. </w:t>
              </w:r>
            </w:hyperlink>
          </w:p>
        </w:tc>
      </w:tr>
    </w:tbl>
    <w:p w14:paraId="4C3BCABC" w14:textId="77777777" w:rsidR="00621FDB" w:rsidRDefault="00621FDB" w:rsidP="000650F2">
      <w:pPr>
        <w:spacing w:after="120" w:line="360" w:lineRule="auto"/>
      </w:pPr>
    </w:p>
    <w:p w14:paraId="48E5230C" w14:textId="732CB206" w:rsidR="001333E0" w:rsidRPr="00B77CDA" w:rsidRDefault="001333E0" w:rsidP="000650F2">
      <w:pPr>
        <w:spacing w:after="120" w:line="360" w:lineRule="auto"/>
        <w:sectPr w:rsidR="001333E0" w:rsidRPr="00B77CDA" w:rsidSect="007B385B">
          <w:type w:val="continuous"/>
          <w:pgSz w:w="11906" w:h="16838"/>
          <w:pgMar w:top="1418" w:right="1418" w:bottom="1418" w:left="1418" w:header="680" w:footer="454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02DA4" w:rsidRPr="00B77CDA" w14:paraId="4DE3315F" w14:textId="77777777" w:rsidTr="00621FDB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161F49E6" w:rsidR="00522700" w:rsidRPr="00522700" w:rsidRDefault="002D3CB0" w:rsidP="00522700">
            <w:pPr>
              <w:pStyle w:val="03"/>
              <w:spacing w:line="360" w:lineRule="auto"/>
            </w:pPr>
            <w:r w:rsidRPr="00B77CDA">
              <w:t>*</w:t>
            </w:r>
            <w:r w:rsidR="00B0732D" w:rsidRPr="00B77CDA">
              <w:t>   </w:t>
            </w:r>
            <w:r w:rsidRPr="00B77CDA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B77CDA">
              <w:t>ет и на неговата администрация.</w:t>
            </w:r>
          </w:p>
        </w:tc>
      </w:tr>
      <w:tr w:rsidR="000D667F" w:rsidRPr="00B77CDA" w14:paraId="6BC679BA" w14:textId="77777777" w:rsidTr="00621FDB">
        <w:trPr>
          <w:cantSplit/>
        </w:trPr>
        <w:tc>
          <w:tcPr>
            <w:tcW w:w="10207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4962C7B5" w:rsidR="00522700" w:rsidRPr="00522700" w:rsidRDefault="000D667F" w:rsidP="00522700">
            <w:pPr>
              <w:pStyle w:val="03"/>
              <w:spacing w:line="360" w:lineRule="auto"/>
            </w:pPr>
            <w:r w:rsidRPr="00B77CDA">
              <w:t>**</w:t>
            </w:r>
            <w:r w:rsidR="00B0732D" w:rsidRPr="00B77CDA">
              <w:t>   </w:t>
            </w:r>
            <w:r w:rsidR="002C0D1B" w:rsidRPr="00B77CDA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B77CDA">
              <w:t>.</w:t>
            </w:r>
          </w:p>
        </w:tc>
      </w:tr>
      <w:tr w:rsidR="00602DA4" w:rsidRPr="00B77CDA" w14:paraId="735F2EAE" w14:textId="77777777" w:rsidTr="00621FDB">
        <w:trPr>
          <w:cantSplit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B77CDA" w:rsidRDefault="002D3CB0" w:rsidP="001333E0">
            <w:pPr>
              <w:pStyle w:val="03"/>
              <w:spacing w:line="360" w:lineRule="auto"/>
            </w:pPr>
            <w:r w:rsidRPr="00B77CDA">
              <w:t>**</w:t>
            </w:r>
            <w:r w:rsidR="000A68D9" w:rsidRPr="00B77CDA">
              <w:t>*</w:t>
            </w:r>
            <w:r w:rsidR="00B0732D" w:rsidRPr="00B77CDA">
              <w:t>   </w:t>
            </w:r>
            <w:r w:rsidRPr="00B77CDA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6D944BB5" w:rsidR="00522700" w:rsidRPr="00522700" w:rsidRDefault="007F2E32" w:rsidP="00522700">
            <w:pPr>
              <w:pStyle w:val="03"/>
              <w:spacing w:line="360" w:lineRule="auto"/>
            </w:pPr>
            <w:r w:rsidRPr="00B77CDA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621FDB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0C8" w14:textId="3E967C00" w:rsidR="00BA3467" w:rsidRPr="00325252" w:rsidRDefault="00BA3467" w:rsidP="008B703D">
            <w:pPr>
              <w:pStyle w:val="04"/>
              <w:ind w:firstLine="0"/>
            </w:pPr>
            <w:r w:rsidRPr="00B57875">
              <w:t>ДИРЕКТОР</w:t>
            </w:r>
            <w:r w:rsidRPr="00325252">
              <w:t xml:space="preserve"> НА ДИРЕКЦИЯ </w:t>
            </w:r>
          </w:p>
          <w:p w14:paraId="45B92D84" w14:textId="2AB5F9D5" w:rsidR="00BA3467" w:rsidRPr="00325252" w:rsidRDefault="00BA3467" w:rsidP="00B57875">
            <w:pPr>
              <w:pStyle w:val="04"/>
            </w:pPr>
            <w:r w:rsidRPr="00325252">
              <w:t>„</w:t>
            </w:r>
            <w:r w:rsidR="005E705E" w:rsidRPr="00B57875">
              <w:t>КООРДИНАЦИЯ</w:t>
            </w:r>
            <w:r w:rsidR="005E705E" w:rsidRPr="00325252">
              <w:t xml:space="preserve"> И </w:t>
            </w:r>
            <w:r w:rsidRPr="00325252">
              <w:t>МОДЕРНИЗАЦИЯ НА АДМИНИСТРАЦИЯТА“ В</w:t>
            </w:r>
          </w:p>
          <w:p w14:paraId="6C13F804" w14:textId="77777777" w:rsidR="00BA3467" w:rsidRPr="00E77E8A" w:rsidRDefault="00BA3467" w:rsidP="00B57875">
            <w:pPr>
              <w:pStyle w:val="04"/>
            </w:pPr>
            <w:r w:rsidRPr="00B57875">
              <w:t>АДМИНИСТРАЦИЯТА</w:t>
            </w:r>
            <w:r w:rsidRPr="00325252">
              <w:t xml:space="preserve"> НА МИНИСТЕРСКИЯ СЪВЕТ</w:t>
            </w:r>
          </w:p>
          <w:p w14:paraId="15F40762" w14:textId="45A73C0A" w:rsidR="00BA3467" w:rsidRPr="00BA3467" w:rsidRDefault="00992A81" w:rsidP="0020255B">
            <w:pPr>
              <w:spacing w:line="240" w:lineRule="auto"/>
              <w:ind w:left="5704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47.4pt;height:56.4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C60287">
            <w:pPr>
              <w:spacing w:after="120" w:line="240" w:lineRule="auto"/>
              <w:ind w:left="5704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83438C">
      <w:type w:val="continuous"/>
      <w:pgSz w:w="11906" w:h="16838"/>
      <w:pgMar w:top="1134" w:right="1418" w:bottom="1134" w:left="1418" w:header="709" w:footer="17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BBDB8" w14:textId="77777777" w:rsidR="005E3943" w:rsidRDefault="005E3943" w:rsidP="00C20834">
      <w:r>
        <w:separator/>
      </w:r>
    </w:p>
    <w:p w14:paraId="0D4A22F3" w14:textId="77777777" w:rsidR="005E3943" w:rsidRDefault="005E3943" w:rsidP="00C20834"/>
    <w:p w14:paraId="702B755A" w14:textId="77777777" w:rsidR="005E3943" w:rsidRDefault="005E3943"/>
  </w:endnote>
  <w:endnote w:type="continuationSeparator" w:id="0">
    <w:p w14:paraId="5490D40F" w14:textId="77777777" w:rsidR="005E3943" w:rsidRDefault="005E3943" w:rsidP="00C20834">
      <w:r>
        <w:continuationSeparator/>
      </w:r>
    </w:p>
    <w:p w14:paraId="5324139F" w14:textId="77777777" w:rsidR="005E3943" w:rsidRDefault="005E3943" w:rsidP="00C20834"/>
    <w:p w14:paraId="2A11A23D" w14:textId="77777777" w:rsidR="005E3943" w:rsidRDefault="005E3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94D9A" w14:textId="77777777" w:rsidR="00CE5BD8" w:rsidRPr="00CE5BD8" w:rsidRDefault="00CE5BD8" w:rsidP="00CE5BD8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CE5BD8">
          <w:rPr>
            <w:rFonts w:eastAsia="Times New Roman"/>
            <w:i/>
            <w:sz w:val="20"/>
            <w:szCs w:val="20"/>
          </w:rPr>
          <w:t>Становище относно съгласуване на частична предварителна оценка на въздействието на проект на Постановление на Министерския съвет за приемане на Наредба за Единния публичен регистър по устройство на територията</w:t>
        </w:r>
      </w:p>
      <w:p w14:paraId="7C697B35" w14:textId="5F996D40" w:rsidR="00CE5BD8" w:rsidRPr="00CE5BD8" w:rsidRDefault="00CE5BD8" w:rsidP="00C60287">
        <w:pPr>
          <w:tabs>
            <w:tab w:val="right" w:pos="9072"/>
          </w:tabs>
          <w:spacing w:line="240" w:lineRule="auto"/>
          <w:jc w:val="right"/>
          <w:rPr>
            <w:rFonts w:eastAsia="Times New Roman"/>
            <w:szCs w:val="20"/>
          </w:rPr>
        </w:pPr>
        <w:r w:rsidRPr="00CE5BD8">
          <w:rPr>
            <w:rFonts w:eastAsia="Times New Roman"/>
            <w:b/>
            <w:sz w:val="16"/>
            <w:szCs w:val="16"/>
          </w:rPr>
          <w:t xml:space="preserve">Страница </w:t>
        </w:r>
        <w:r w:rsidRPr="00CE5BD8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E5BD8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E5BD8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92A81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E5BD8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E5BD8">
          <w:rPr>
            <w:rFonts w:eastAsia="Times New Roman"/>
            <w:b/>
            <w:sz w:val="16"/>
            <w:szCs w:val="16"/>
          </w:rPr>
          <w:t xml:space="preserve"> от </w:t>
        </w:r>
        <w:r w:rsidRPr="00CE5BD8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E5BD8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E5BD8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92A81">
          <w:rPr>
            <w:rFonts w:eastAsia="Times New Roman"/>
            <w:b/>
            <w:bCs/>
            <w:noProof/>
            <w:sz w:val="16"/>
            <w:szCs w:val="16"/>
          </w:rPr>
          <w:t>4</w:t>
        </w:r>
        <w:r w:rsidRPr="00CE5BD8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49405D81" w:rsidR="000D667F" w:rsidRPr="00CD3A5D" w:rsidRDefault="00C60287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C60287">
      <w:rPr>
        <w:rFonts w:eastAsia="Times New Roman"/>
        <w:i/>
        <w:sz w:val="20"/>
        <w:szCs w:val="20"/>
      </w:rPr>
      <w:t>Становище относно съгласуване на частична предварителна оценка на въздействието на проект на Постановление на Министерския съвет за приемане на Наредба за Единния публичен регистър по устройство на територията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AC7CB" w14:textId="77777777" w:rsidR="005E3943" w:rsidRDefault="005E3943" w:rsidP="00C20834">
      <w:r>
        <w:separator/>
      </w:r>
    </w:p>
    <w:p w14:paraId="12EFAA10" w14:textId="77777777" w:rsidR="005E3943" w:rsidRDefault="005E3943" w:rsidP="00C20834"/>
    <w:p w14:paraId="0F5BF045" w14:textId="77777777" w:rsidR="005E3943" w:rsidRDefault="005E3943"/>
  </w:footnote>
  <w:footnote w:type="continuationSeparator" w:id="0">
    <w:p w14:paraId="61132D5C" w14:textId="77777777" w:rsidR="005E3943" w:rsidRDefault="005E3943" w:rsidP="00C20834">
      <w:r>
        <w:continuationSeparator/>
      </w:r>
    </w:p>
    <w:p w14:paraId="37C00CD2" w14:textId="77777777" w:rsidR="005E3943" w:rsidRDefault="005E3943" w:rsidP="00C20834"/>
    <w:p w14:paraId="5DB8AB6E" w14:textId="77777777" w:rsidR="005E3943" w:rsidRDefault="005E3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12DCE"/>
    <w:rsid w:val="0002039E"/>
    <w:rsid w:val="00021017"/>
    <w:rsid w:val="000257D5"/>
    <w:rsid w:val="00030B02"/>
    <w:rsid w:val="000311C0"/>
    <w:rsid w:val="000355CA"/>
    <w:rsid w:val="000405D8"/>
    <w:rsid w:val="0004259E"/>
    <w:rsid w:val="00044A01"/>
    <w:rsid w:val="000478BD"/>
    <w:rsid w:val="000503CB"/>
    <w:rsid w:val="0005265F"/>
    <w:rsid w:val="00053011"/>
    <w:rsid w:val="00056D49"/>
    <w:rsid w:val="00057C18"/>
    <w:rsid w:val="00061811"/>
    <w:rsid w:val="000650F2"/>
    <w:rsid w:val="0007016F"/>
    <w:rsid w:val="000738B9"/>
    <w:rsid w:val="00076CFA"/>
    <w:rsid w:val="00077667"/>
    <w:rsid w:val="00081BBE"/>
    <w:rsid w:val="00082A23"/>
    <w:rsid w:val="0008329B"/>
    <w:rsid w:val="000851AE"/>
    <w:rsid w:val="0008529C"/>
    <w:rsid w:val="0008786A"/>
    <w:rsid w:val="000879ED"/>
    <w:rsid w:val="00087D50"/>
    <w:rsid w:val="00091652"/>
    <w:rsid w:val="00091D1E"/>
    <w:rsid w:val="00092193"/>
    <w:rsid w:val="00094215"/>
    <w:rsid w:val="00095AB2"/>
    <w:rsid w:val="000975D4"/>
    <w:rsid w:val="000A0715"/>
    <w:rsid w:val="000A0786"/>
    <w:rsid w:val="000A545F"/>
    <w:rsid w:val="000A57D9"/>
    <w:rsid w:val="000A68D9"/>
    <w:rsid w:val="000B0CDC"/>
    <w:rsid w:val="000B11A9"/>
    <w:rsid w:val="000B1B75"/>
    <w:rsid w:val="000B1C3B"/>
    <w:rsid w:val="000B5093"/>
    <w:rsid w:val="000B6ED1"/>
    <w:rsid w:val="000C0A9E"/>
    <w:rsid w:val="000C1EC8"/>
    <w:rsid w:val="000C7B49"/>
    <w:rsid w:val="000D206E"/>
    <w:rsid w:val="000D2F5B"/>
    <w:rsid w:val="000D667F"/>
    <w:rsid w:val="000E0114"/>
    <w:rsid w:val="000E358C"/>
    <w:rsid w:val="000F04B2"/>
    <w:rsid w:val="000F3496"/>
    <w:rsid w:val="00100231"/>
    <w:rsid w:val="00100D3C"/>
    <w:rsid w:val="001020BF"/>
    <w:rsid w:val="001111D5"/>
    <w:rsid w:val="00113560"/>
    <w:rsid w:val="0011366C"/>
    <w:rsid w:val="001171AE"/>
    <w:rsid w:val="001178C4"/>
    <w:rsid w:val="00121599"/>
    <w:rsid w:val="00126555"/>
    <w:rsid w:val="0013155E"/>
    <w:rsid w:val="001333E0"/>
    <w:rsid w:val="001335A0"/>
    <w:rsid w:val="00133BAE"/>
    <w:rsid w:val="00134282"/>
    <w:rsid w:val="001413BF"/>
    <w:rsid w:val="001433DA"/>
    <w:rsid w:val="0014415F"/>
    <w:rsid w:val="001512E1"/>
    <w:rsid w:val="00152F23"/>
    <w:rsid w:val="00156500"/>
    <w:rsid w:val="00164E8F"/>
    <w:rsid w:val="00166824"/>
    <w:rsid w:val="00167E4D"/>
    <w:rsid w:val="0017700D"/>
    <w:rsid w:val="0018172A"/>
    <w:rsid w:val="00182180"/>
    <w:rsid w:val="00183226"/>
    <w:rsid w:val="00183CBB"/>
    <w:rsid w:val="00192D9A"/>
    <w:rsid w:val="00195391"/>
    <w:rsid w:val="00197F95"/>
    <w:rsid w:val="001A373C"/>
    <w:rsid w:val="001A7FBE"/>
    <w:rsid w:val="001B2BD0"/>
    <w:rsid w:val="001B38DB"/>
    <w:rsid w:val="001B50A2"/>
    <w:rsid w:val="001B77B5"/>
    <w:rsid w:val="001C1321"/>
    <w:rsid w:val="001C6AD2"/>
    <w:rsid w:val="001C7BDE"/>
    <w:rsid w:val="001D5327"/>
    <w:rsid w:val="001D7F92"/>
    <w:rsid w:val="001E1353"/>
    <w:rsid w:val="001F0FAE"/>
    <w:rsid w:val="001F45EB"/>
    <w:rsid w:val="001F6DD7"/>
    <w:rsid w:val="0020255B"/>
    <w:rsid w:val="00204910"/>
    <w:rsid w:val="00204E26"/>
    <w:rsid w:val="00204F7B"/>
    <w:rsid w:val="00205D16"/>
    <w:rsid w:val="002061BC"/>
    <w:rsid w:val="002131FE"/>
    <w:rsid w:val="00213E67"/>
    <w:rsid w:val="002211C1"/>
    <w:rsid w:val="0022613D"/>
    <w:rsid w:val="002261F7"/>
    <w:rsid w:val="0023124A"/>
    <w:rsid w:val="00231A52"/>
    <w:rsid w:val="0023233C"/>
    <w:rsid w:val="002364FF"/>
    <w:rsid w:val="00247168"/>
    <w:rsid w:val="0025056F"/>
    <w:rsid w:val="00254CC7"/>
    <w:rsid w:val="002555C1"/>
    <w:rsid w:val="00262067"/>
    <w:rsid w:val="0026367B"/>
    <w:rsid w:val="00263775"/>
    <w:rsid w:val="00263D3C"/>
    <w:rsid w:val="00266613"/>
    <w:rsid w:val="00267A5A"/>
    <w:rsid w:val="00270462"/>
    <w:rsid w:val="00270807"/>
    <w:rsid w:val="00270C16"/>
    <w:rsid w:val="00271216"/>
    <w:rsid w:val="00271918"/>
    <w:rsid w:val="00271EDD"/>
    <w:rsid w:val="00273D21"/>
    <w:rsid w:val="00274543"/>
    <w:rsid w:val="00277B2B"/>
    <w:rsid w:val="002802AD"/>
    <w:rsid w:val="002808DA"/>
    <w:rsid w:val="0028146C"/>
    <w:rsid w:val="0028193B"/>
    <w:rsid w:val="002918DD"/>
    <w:rsid w:val="00292933"/>
    <w:rsid w:val="00293F06"/>
    <w:rsid w:val="00294469"/>
    <w:rsid w:val="00295D4D"/>
    <w:rsid w:val="002970AE"/>
    <w:rsid w:val="00297AFE"/>
    <w:rsid w:val="002A2E3A"/>
    <w:rsid w:val="002A5C98"/>
    <w:rsid w:val="002A7133"/>
    <w:rsid w:val="002A7C7A"/>
    <w:rsid w:val="002B0EC4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06F0"/>
    <w:rsid w:val="002D3C0A"/>
    <w:rsid w:val="002D3CB0"/>
    <w:rsid w:val="002D4F4A"/>
    <w:rsid w:val="002E73BD"/>
    <w:rsid w:val="002F3FF6"/>
    <w:rsid w:val="00306053"/>
    <w:rsid w:val="003105EA"/>
    <w:rsid w:val="0031159F"/>
    <w:rsid w:val="00313C49"/>
    <w:rsid w:val="00314B6A"/>
    <w:rsid w:val="00315A31"/>
    <w:rsid w:val="00320D9E"/>
    <w:rsid w:val="003225FB"/>
    <w:rsid w:val="00323D41"/>
    <w:rsid w:val="00324D33"/>
    <w:rsid w:val="00324E9F"/>
    <w:rsid w:val="00325252"/>
    <w:rsid w:val="00325A7A"/>
    <w:rsid w:val="003302A0"/>
    <w:rsid w:val="003306C8"/>
    <w:rsid w:val="00330EFD"/>
    <w:rsid w:val="00333992"/>
    <w:rsid w:val="00335726"/>
    <w:rsid w:val="00336178"/>
    <w:rsid w:val="003442C9"/>
    <w:rsid w:val="0034513B"/>
    <w:rsid w:val="0035061E"/>
    <w:rsid w:val="00350F06"/>
    <w:rsid w:val="00361523"/>
    <w:rsid w:val="00361CE7"/>
    <w:rsid w:val="0036412B"/>
    <w:rsid w:val="00364B29"/>
    <w:rsid w:val="00373498"/>
    <w:rsid w:val="003766E7"/>
    <w:rsid w:val="00380C9B"/>
    <w:rsid w:val="00380D94"/>
    <w:rsid w:val="003839C5"/>
    <w:rsid w:val="00390E31"/>
    <w:rsid w:val="00392592"/>
    <w:rsid w:val="00394AA9"/>
    <w:rsid w:val="003965AE"/>
    <w:rsid w:val="00396719"/>
    <w:rsid w:val="003A2B87"/>
    <w:rsid w:val="003A4582"/>
    <w:rsid w:val="003A4985"/>
    <w:rsid w:val="003A7BCC"/>
    <w:rsid w:val="003B0BFA"/>
    <w:rsid w:val="003B5590"/>
    <w:rsid w:val="003B5DC2"/>
    <w:rsid w:val="003B614D"/>
    <w:rsid w:val="003C1E9E"/>
    <w:rsid w:val="003C2AEF"/>
    <w:rsid w:val="003C621B"/>
    <w:rsid w:val="003C744E"/>
    <w:rsid w:val="003D454B"/>
    <w:rsid w:val="003D78A7"/>
    <w:rsid w:val="003E2B6F"/>
    <w:rsid w:val="003E4A54"/>
    <w:rsid w:val="003E4F2E"/>
    <w:rsid w:val="003E70D2"/>
    <w:rsid w:val="003F0592"/>
    <w:rsid w:val="003F2DD9"/>
    <w:rsid w:val="003F4302"/>
    <w:rsid w:val="003F6C94"/>
    <w:rsid w:val="0040060D"/>
    <w:rsid w:val="00400C35"/>
    <w:rsid w:val="00401B94"/>
    <w:rsid w:val="00403511"/>
    <w:rsid w:val="00403E1D"/>
    <w:rsid w:val="0041767B"/>
    <w:rsid w:val="004176A1"/>
    <w:rsid w:val="00420A53"/>
    <w:rsid w:val="00421454"/>
    <w:rsid w:val="004250AE"/>
    <w:rsid w:val="00431CC4"/>
    <w:rsid w:val="004332F8"/>
    <w:rsid w:val="004352AE"/>
    <w:rsid w:val="0043548B"/>
    <w:rsid w:val="004439BE"/>
    <w:rsid w:val="00445CE4"/>
    <w:rsid w:val="004473ED"/>
    <w:rsid w:val="00450BB8"/>
    <w:rsid w:val="00452EB1"/>
    <w:rsid w:val="00455B96"/>
    <w:rsid w:val="004568A7"/>
    <w:rsid w:val="00457AFE"/>
    <w:rsid w:val="00457DBC"/>
    <w:rsid w:val="0046157D"/>
    <w:rsid w:val="00461D4B"/>
    <w:rsid w:val="00465B3D"/>
    <w:rsid w:val="00465CF9"/>
    <w:rsid w:val="004663A4"/>
    <w:rsid w:val="00466FA7"/>
    <w:rsid w:val="004761B1"/>
    <w:rsid w:val="004909CE"/>
    <w:rsid w:val="004924AB"/>
    <w:rsid w:val="004943AD"/>
    <w:rsid w:val="004A4997"/>
    <w:rsid w:val="004A4ED9"/>
    <w:rsid w:val="004A69D7"/>
    <w:rsid w:val="004B1758"/>
    <w:rsid w:val="004B431B"/>
    <w:rsid w:val="004B70D4"/>
    <w:rsid w:val="004C1253"/>
    <w:rsid w:val="004C1C07"/>
    <w:rsid w:val="004C2E68"/>
    <w:rsid w:val="004C375C"/>
    <w:rsid w:val="004C6250"/>
    <w:rsid w:val="004C6C07"/>
    <w:rsid w:val="004C7E56"/>
    <w:rsid w:val="004D1070"/>
    <w:rsid w:val="004D458D"/>
    <w:rsid w:val="004D7DBE"/>
    <w:rsid w:val="004E0CCB"/>
    <w:rsid w:val="004E2349"/>
    <w:rsid w:val="004F0C99"/>
    <w:rsid w:val="004F12EC"/>
    <w:rsid w:val="00502644"/>
    <w:rsid w:val="0050294F"/>
    <w:rsid w:val="0050360A"/>
    <w:rsid w:val="005063A8"/>
    <w:rsid w:val="00510E88"/>
    <w:rsid w:val="00514F9F"/>
    <w:rsid w:val="00516165"/>
    <w:rsid w:val="00521568"/>
    <w:rsid w:val="00522700"/>
    <w:rsid w:val="0052780D"/>
    <w:rsid w:val="00531912"/>
    <w:rsid w:val="00531FCC"/>
    <w:rsid w:val="00536144"/>
    <w:rsid w:val="005374FD"/>
    <w:rsid w:val="0054028C"/>
    <w:rsid w:val="00541402"/>
    <w:rsid w:val="005460B8"/>
    <w:rsid w:val="0055005B"/>
    <w:rsid w:val="0055194F"/>
    <w:rsid w:val="00551C3A"/>
    <w:rsid w:val="005561B6"/>
    <w:rsid w:val="0055711E"/>
    <w:rsid w:val="00560588"/>
    <w:rsid w:val="00560E9D"/>
    <w:rsid w:val="00562FF2"/>
    <w:rsid w:val="00563D0D"/>
    <w:rsid w:val="005717CC"/>
    <w:rsid w:val="00571839"/>
    <w:rsid w:val="005729A2"/>
    <w:rsid w:val="00581534"/>
    <w:rsid w:val="00581898"/>
    <w:rsid w:val="00581C60"/>
    <w:rsid w:val="00582AB5"/>
    <w:rsid w:val="00583B00"/>
    <w:rsid w:val="00584C7B"/>
    <w:rsid w:val="00585E48"/>
    <w:rsid w:val="005926F9"/>
    <w:rsid w:val="00592979"/>
    <w:rsid w:val="005A19B0"/>
    <w:rsid w:val="005A2142"/>
    <w:rsid w:val="005A23D4"/>
    <w:rsid w:val="005A3BC0"/>
    <w:rsid w:val="005B11DD"/>
    <w:rsid w:val="005B4BCB"/>
    <w:rsid w:val="005C0770"/>
    <w:rsid w:val="005C7E7D"/>
    <w:rsid w:val="005D2B78"/>
    <w:rsid w:val="005D3149"/>
    <w:rsid w:val="005D419A"/>
    <w:rsid w:val="005D474C"/>
    <w:rsid w:val="005D5078"/>
    <w:rsid w:val="005D711F"/>
    <w:rsid w:val="005E3943"/>
    <w:rsid w:val="005E705E"/>
    <w:rsid w:val="005F131F"/>
    <w:rsid w:val="005F13E3"/>
    <w:rsid w:val="005F2242"/>
    <w:rsid w:val="005F5503"/>
    <w:rsid w:val="005F614B"/>
    <w:rsid w:val="005F66D8"/>
    <w:rsid w:val="005F724F"/>
    <w:rsid w:val="00602D60"/>
    <w:rsid w:val="00602DA4"/>
    <w:rsid w:val="00621FDB"/>
    <w:rsid w:val="00622B1B"/>
    <w:rsid w:val="00627303"/>
    <w:rsid w:val="0063533F"/>
    <w:rsid w:val="006356A3"/>
    <w:rsid w:val="00640C95"/>
    <w:rsid w:val="006559FC"/>
    <w:rsid w:val="00657679"/>
    <w:rsid w:val="00660D8E"/>
    <w:rsid w:val="00664A4E"/>
    <w:rsid w:val="00665DEB"/>
    <w:rsid w:val="00671446"/>
    <w:rsid w:val="006717EA"/>
    <w:rsid w:val="006718A8"/>
    <w:rsid w:val="006807A9"/>
    <w:rsid w:val="00680D75"/>
    <w:rsid w:val="00681718"/>
    <w:rsid w:val="0069295F"/>
    <w:rsid w:val="00693B60"/>
    <w:rsid w:val="00693C7D"/>
    <w:rsid w:val="006949FD"/>
    <w:rsid w:val="00696CA4"/>
    <w:rsid w:val="00696EE6"/>
    <w:rsid w:val="006970AD"/>
    <w:rsid w:val="006A211F"/>
    <w:rsid w:val="006A248F"/>
    <w:rsid w:val="006A2AAC"/>
    <w:rsid w:val="006B1131"/>
    <w:rsid w:val="006B49B5"/>
    <w:rsid w:val="006B4F96"/>
    <w:rsid w:val="006B5443"/>
    <w:rsid w:val="006B5D0C"/>
    <w:rsid w:val="006B6BAF"/>
    <w:rsid w:val="006B7C3F"/>
    <w:rsid w:val="006C05A6"/>
    <w:rsid w:val="006C1E5E"/>
    <w:rsid w:val="006C5A7E"/>
    <w:rsid w:val="006D04DF"/>
    <w:rsid w:val="006D4637"/>
    <w:rsid w:val="006D4B06"/>
    <w:rsid w:val="006D604D"/>
    <w:rsid w:val="006F098C"/>
    <w:rsid w:val="0070040A"/>
    <w:rsid w:val="00704506"/>
    <w:rsid w:val="0070623B"/>
    <w:rsid w:val="00707B5A"/>
    <w:rsid w:val="00707B95"/>
    <w:rsid w:val="007142D2"/>
    <w:rsid w:val="0071466A"/>
    <w:rsid w:val="00726182"/>
    <w:rsid w:val="00726812"/>
    <w:rsid w:val="00732550"/>
    <w:rsid w:val="007339EF"/>
    <w:rsid w:val="007438BC"/>
    <w:rsid w:val="007478F6"/>
    <w:rsid w:val="00750E40"/>
    <w:rsid w:val="00762871"/>
    <w:rsid w:val="00762959"/>
    <w:rsid w:val="00764CAF"/>
    <w:rsid w:val="00765799"/>
    <w:rsid w:val="00770533"/>
    <w:rsid w:val="00771C25"/>
    <w:rsid w:val="0077540B"/>
    <w:rsid w:val="00776502"/>
    <w:rsid w:val="00782CA7"/>
    <w:rsid w:val="007901AF"/>
    <w:rsid w:val="00793836"/>
    <w:rsid w:val="00794915"/>
    <w:rsid w:val="00794ECF"/>
    <w:rsid w:val="007B385B"/>
    <w:rsid w:val="007B391A"/>
    <w:rsid w:val="007B3927"/>
    <w:rsid w:val="007B4BD2"/>
    <w:rsid w:val="007B50D6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615"/>
    <w:rsid w:val="007F2E32"/>
    <w:rsid w:val="007F3EA9"/>
    <w:rsid w:val="007F6593"/>
    <w:rsid w:val="007F6F41"/>
    <w:rsid w:val="00802E92"/>
    <w:rsid w:val="008041AF"/>
    <w:rsid w:val="00804679"/>
    <w:rsid w:val="008060B7"/>
    <w:rsid w:val="008069A0"/>
    <w:rsid w:val="00807896"/>
    <w:rsid w:val="00816E23"/>
    <w:rsid w:val="00820A9D"/>
    <w:rsid w:val="008225D3"/>
    <w:rsid w:val="00822FA0"/>
    <w:rsid w:val="00823916"/>
    <w:rsid w:val="00826731"/>
    <w:rsid w:val="0083361E"/>
    <w:rsid w:val="0083438C"/>
    <w:rsid w:val="00834B55"/>
    <w:rsid w:val="00840B3A"/>
    <w:rsid w:val="008428A0"/>
    <w:rsid w:val="00844927"/>
    <w:rsid w:val="00846784"/>
    <w:rsid w:val="00850CAF"/>
    <w:rsid w:val="00852493"/>
    <w:rsid w:val="00852EF9"/>
    <w:rsid w:val="0085378E"/>
    <w:rsid w:val="008571BE"/>
    <w:rsid w:val="008606C4"/>
    <w:rsid w:val="00860DC6"/>
    <w:rsid w:val="00861841"/>
    <w:rsid w:val="00865E04"/>
    <w:rsid w:val="0087124C"/>
    <w:rsid w:val="00872F13"/>
    <w:rsid w:val="0087587B"/>
    <w:rsid w:val="00875FCE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2623"/>
    <w:rsid w:val="008B703D"/>
    <w:rsid w:val="008B72D3"/>
    <w:rsid w:val="008C02A3"/>
    <w:rsid w:val="008C141F"/>
    <w:rsid w:val="008C1EF4"/>
    <w:rsid w:val="008C4EEE"/>
    <w:rsid w:val="008C60A6"/>
    <w:rsid w:val="008D2776"/>
    <w:rsid w:val="008D40AC"/>
    <w:rsid w:val="008E025F"/>
    <w:rsid w:val="008E1D97"/>
    <w:rsid w:val="008E6FA2"/>
    <w:rsid w:val="008F1A06"/>
    <w:rsid w:val="008F2C2D"/>
    <w:rsid w:val="008F3DB6"/>
    <w:rsid w:val="008F505D"/>
    <w:rsid w:val="008F6AD0"/>
    <w:rsid w:val="00900517"/>
    <w:rsid w:val="0090271D"/>
    <w:rsid w:val="0090353E"/>
    <w:rsid w:val="009035C2"/>
    <w:rsid w:val="00907A13"/>
    <w:rsid w:val="00911779"/>
    <w:rsid w:val="00913209"/>
    <w:rsid w:val="0091684D"/>
    <w:rsid w:val="00916898"/>
    <w:rsid w:val="0092042D"/>
    <w:rsid w:val="00925322"/>
    <w:rsid w:val="009277E2"/>
    <w:rsid w:val="0093154E"/>
    <w:rsid w:val="00932950"/>
    <w:rsid w:val="00940824"/>
    <w:rsid w:val="00940B4E"/>
    <w:rsid w:val="009439E4"/>
    <w:rsid w:val="00943FD9"/>
    <w:rsid w:val="009441A1"/>
    <w:rsid w:val="00952F1F"/>
    <w:rsid w:val="00955B86"/>
    <w:rsid w:val="009571B5"/>
    <w:rsid w:val="0096288D"/>
    <w:rsid w:val="00965FDF"/>
    <w:rsid w:val="009704E9"/>
    <w:rsid w:val="009726A6"/>
    <w:rsid w:val="00972DFD"/>
    <w:rsid w:val="00973BD9"/>
    <w:rsid w:val="00976512"/>
    <w:rsid w:val="00977C2F"/>
    <w:rsid w:val="009810DF"/>
    <w:rsid w:val="00981CBD"/>
    <w:rsid w:val="00985C4B"/>
    <w:rsid w:val="00987F24"/>
    <w:rsid w:val="009923C6"/>
    <w:rsid w:val="00992A81"/>
    <w:rsid w:val="009978BB"/>
    <w:rsid w:val="009A0270"/>
    <w:rsid w:val="009B0AD1"/>
    <w:rsid w:val="009C4F1A"/>
    <w:rsid w:val="009C52C0"/>
    <w:rsid w:val="009C52C1"/>
    <w:rsid w:val="009D1CB3"/>
    <w:rsid w:val="009D62F6"/>
    <w:rsid w:val="009D7033"/>
    <w:rsid w:val="009E2316"/>
    <w:rsid w:val="009E28B3"/>
    <w:rsid w:val="009E34C6"/>
    <w:rsid w:val="009E5C79"/>
    <w:rsid w:val="009E6840"/>
    <w:rsid w:val="009F0FB8"/>
    <w:rsid w:val="009F5AFD"/>
    <w:rsid w:val="009F5E59"/>
    <w:rsid w:val="009F5F88"/>
    <w:rsid w:val="00A05A1F"/>
    <w:rsid w:val="00A0662C"/>
    <w:rsid w:val="00A07BE3"/>
    <w:rsid w:val="00A15BEC"/>
    <w:rsid w:val="00A177C5"/>
    <w:rsid w:val="00A32F4C"/>
    <w:rsid w:val="00A33936"/>
    <w:rsid w:val="00A410B4"/>
    <w:rsid w:val="00A424FE"/>
    <w:rsid w:val="00A45DC3"/>
    <w:rsid w:val="00A46066"/>
    <w:rsid w:val="00A46D87"/>
    <w:rsid w:val="00A46DE5"/>
    <w:rsid w:val="00A55B16"/>
    <w:rsid w:val="00A568AA"/>
    <w:rsid w:val="00A64514"/>
    <w:rsid w:val="00A73632"/>
    <w:rsid w:val="00A73CDC"/>
    <w:rsid w:val="00A74970"/>
    <w:rsid w:val="00A75CC6"/>
    <w:rsid w:val="00A75F5C"/>
    <w:rsid w:val="00A76AA8"/>
    <w:rsid w:val="00A82ED4"/>
    <w:rsid w:val="00A848DE"/>
    <w:rsid w:val="00A86130"/>
    <w:rsid w:val="00A86B07"/>
    <w:rsid w:val="00A972FD"/>
    <w:rsid w:val="00AA0476"/>
    <w:rsid w:val="00AA2241"/>
    <w:rsid w:val="00AA3A27"/>
    <w:rsid w:val="00AA3C51"/>
    <w:rsid w:val="00AB2914"/>
    <w:rsid w:val="00AB577E"/>
    <w:rsid w:val="00AB5D24"/>
    <w:rsid w:val="00AC4FA4"/>
    <w:rsid w:val="00AC5008"/>
    <w:rsid w:val="00AC6248"/>
    <w:rsid w:val="00AC63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1755"/>
    <w:rsid w:val="00B1365B"/>
    <w:rsid w:val="00B1377E"/>
    <w:rsid w:val="00B13F28"/>
    <w:rsid w:val="00B2193D"/>
    <w:rsid w:val="00B22AAD"/>
    <w:rsid w:val="00B241A0"/>
    <w:rsid w:val="00B2644A"/>
    <w:rsid w:val="00B30018"/>
    <w:rsid w:val="00B33027"/>
    <w:rsid w:val="00B34391"/>
    <w:rsid w:val="00B401BA"/>
    <w:rsid w:val="00B44D5F"/>
    <w:rsid w:val="00B50DA7"/>
    <w:rsid w:val="00B5353F"/>
    <w:rsid w:val="00B569AC"/>
    <w:rsid w:val="00B57875"/>
    <w:rsid w:val="00B60BBF"/>
    <w:rsid w:val="00B60D77"/>
    <w:rsid w:val="00B61658"/>
    <w:rsid w:val="00B66DB3"/>
    <w:rsid w:val="00B7050C"/>
    <w:rsid w:val="00B70BF4"/>
    <w:rsid w:val="00B71A34"/>
    <w:rsid w:val="00B7256C"/>
    <w:rsid w:val="00B73D5D"/>
    <w:rsid w:val="00B746E6"/>
    <w:rsid w:val="00B77CDA"/>
    <w:rsid w:val="00B80FFC"/>
    <w:rsid w:val="00B82CF3"/>
    <w:rsid w:val="00B91FBF"/>
    <w:rsid w:val="00B925F8"/>
    <w:rsid w:val="00B931F4"/>
    <w:rsid w:val="00B953FF"/>
    <w:rsid w:val="00BA1FC3"/>
    <w:rsid w:val="00BA29E3"/>
    <w:rsid w:val="00BA3467"/>
    <w:rsid w:val="00BA5207"/>
    <w:rsid w:val="00BA6FB2"/>
    <w:rsid w:val="00BA71B8"/>
    <w:rsid w:val="00BA75F2"/>
    <w:rsid w:val="00BA7628"/>
    <w:rsid w:val="00BB2188"/>
    <w:rsid w:val="00BB2EAD"/>
    <w:rsid w:val="00BC28F0"/>
    <w:rsid w:val="00BC7450"/>
    <w:rsid w:val="00BD3124"/>
    <w:rsid w:val="00BD3359"/>
    <w:rsid w:val="00BD6D12"/>
    <w:rsid w:val="00BD79F5"/>
    <w:rsid w:val="00BD7A64"/>
    <w:rsid w:val="00BE0061"/>
    <w:rsid w:val="00BE0E98"/>
    <w:rsid w:val="00BF71D5"/>
    <w:rsid w:val="00C008E9"/>
    <w:rsid w:val="00C01F22"/>
    <w:rsid w:val="00C04C60"/>
    <w:rsid w:val="00C050B6"/>
    <w:rsid w:val="00C07559"/>
    <w:rsid w:val="00C109ED"/>
    <w:rsid w:val="00C11410"/>
    <w:rsid w:val="00C13B1F"/>
    <w:rsid w:val="00C13B9E"/>
    <w:rsid w:val="00C14B2B"/>
    <w:rsid w:val="00C14C41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57B"/>
    <w:rsid w:val="00C50797"/>
    <w:rsid w:val="00C52DF4"/>
    <w:rsid w:val="00C54B10"/>
    <w:rsid w:val="00C554BB"/>
    <w:rsid w:val="00C56E4D"/>
    <w:rsid w:val="00C60287"/>
    <w:rsid w:val="00C6254B"/>
    <w:rsid w:val="00C62C3C"/>
    <w:rsid w:val="00C6619B"/>
    <w:rsid w:val="00C71C35"/>
    <w:rsid w:val="00C7259D"/>
    <w:rsid w:val="00C8486B"/>
    <w:rsid w:val="00C8513A"/>
    <w:rsid w:val="00C85426"/>
    <w:rsid w:val="00C85C2F"/>
    <w:rsid w:val="00C92124"/>
    <w:rsid w:val="00C93AA3"/>
    <w:rsid w:val="00C94271"/>
    <w:rsid w:val="00C94552"/>
    <w:rsid w:val="00C9479B"/>
    <w:rsid w:val="00CA1C14"/>
    <w:rsid w:val="00CA3B28"/>
    <w:rsid w:val="00CA3FF4"/>
    <w:rsid w:val="00CA5AB7"/>
    <w:rsid w:val="00CA5C7F"/>
    <w:rsid w:val="00CA5EB8"/>
    <w:rsid w:val="00CB1205"/>
    <w:rsid w:val="00CB189F"/>
    <w:rsid w:val="00CB2528"/>
    <w:rsid w:val="00CB4B20"/>
    <w:rsid w:val="00CB4EB5"/>
    <w:rsid w:val="00CB7514"/>
    <w:rsid w:val="00CC0870"/>
    <w:rsid w:val="00CC19BE"/>
    <w:rsid w:val="00CC3112"/>
    <w:rsid w:val="00CC6525"/>
    <w:rsid w:val="00CC6DE0"/>
    <w:rsid w:val="00CC6EFA"/>
    <w:rsid w:val="00CD1C84"/>
    <w:rsid w:val="00CD3193"/>
    <w:rsid w:val="00CD332B"/>
    <w:rsid w:val="00CD3A5D"/>
    <w:rsid w:val="00CE1738"/>
    <w:rsid w:val="00CE2DC3"/>
    <w:rsid w:val="00CE5295"/>
    <w:rsid w:val="00CE5BD8"/>
    <w:rsid w:val="00CE674D"/>
    <w:rsid w:val="00CE7341"/>
    <w:rsid w:val="00CF3F62"/>
    <w:rsid w:val="00CF635B"/>
    <w:rsid w:val="00CF7993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1DB1"/>
    <w:rsid w:val="00D43F35"/>
    <w:rsid w:val="00D43F47"/>
    <w:rsid w:val="00D4506B"/>
    <w:rsid w:val="00D50DE1"/>
    <w:rsid w:val="00D63C08"/>
    <w:rsid w:val="00D65C80"/>
    <w:rsid w:val="00D70947"/>
    <w:rsid w:val="00D71609"/>
    <w:rsid w:val="00D72DE3"/>
    <w:rsid w:val="00D770E2"/>
    <w:rsid w:val="00D82CBF"/>
    <w:rsid w:val="00D91E34"/>
    <w:rsid w:val="00D92159"/>
    <w:rsid w:val="00DA0142"/>
    <w:rsid w:val="00DA5071"/>
    <w:rsid w:val="00DA77A7"/>
    <w:rsid w:val="00DB15A6"/>
    <w:rsid w:val="00DB4204"/>
    <w:rsid w:val="00DB5262"/>
    <w:rsid w:val="00DC47E2"/>
    <w:rsid w:val="00DC637C"/>
    <w:rsid w:val="00DC7865"/>
    <w:rsid w:val="00DE00B0"/>
    <w:rsid w:val="00DE05BE"/>
    <w:rsid w:val="00DE1358"/>
    <w:rsid w:val="00DE2694"/>
    <w:rsid w:val="00DE33AD"/>
    <w:rsid w:val="00DE7A3D"/>
    <w:rsid w:val="00DF015A"/>
    <w:rsid w:val="00DF2E79"/>
    <w:rsid w:val="00DF5EA7"/>
    <w:rsid w:val="00E01303"/>
    <w:rsid w:val="00E04136"/>
    <w:rsid w:val="00E12073"/>
    <w:rsid w:val="00E13A4F"/>
    <w:rsid w:val="00E1478D"/>
    <w:rsid w:val="00E14879"/>
    <w:rsid w:val="00E15EB4"/>
    <w:rsid w:val="00E217F8"/>
    <w:rsid w:val="00E260DC"/>
    <w:rsid w:val="00E26141"/>
    <w:rsid w:val="00E269B3"/>
    <w:rsid w:val="00E3229E"/>
    <w:rsid w:val="00E353BF"/>
    <w:rsid w:val="00E374A5"/>
    <w:rsid w:val="00E41AF2"/>
    <w:rsid w:val="00E436A0"/>
    <w:rsid w:val="00E457CA"/>
    <w:rsid w:val="00E460F6"/>
    <w:rsid w:val="00E477D0"/>
    <w:rsid w:val="00E500E6"/>
    <w:rsid w:val="00E50597"/>
    <w:rsid w:val="00E50E7E"/>
    <w:rsid w:val="00E5597C"/>
    <w:rsid w:val="00E5663E"/>
    <w:rsid w:val="00E57CBF"/>
    <w:rsid w:val="00E60C03"/>
    <w:rsid w:val="00E60D38"/>
    <w:rsid w:val="00E63448"/>
    <w:rsid w:val="00E644D1"/>
    <w:rsid w:val="00E71EAD"/>
    <w:rsid w:val="00E77E8A"/>
    <w:rsid w:val="00E80789"/>
    <w:rsid w:val="00E80FDC"/>
    <w:rsid w:val="00E83DC8"/>
    <w:rsid w:val="00E86AAE"/>
    <w:rsid w:val="00E87992"/>
    <w:rsid w:val="00EA053D"/>
    <w:rsid w:val="00EA2D23"/>
    <w:rsid w:val="00EA6D4B"/>
    <w:rsid w:val="00EB0847"/>
    <w:rsid w:val="00EB2384"/>
    <w:rsid w:val="00EB2A2F"/>
    <w:rsid w:val="00EB342F"/>
    <w:rsid w:val="00EB7D4C"/>
    <w:rsid w:val="00EC2418"/>
    <w:rsid w:val="00EC26F8"/>
    <w:rsid w:val="00EC58C0"/>
    <w:rsid w:val="00ED0A3E"/>
    <w:rsid w:val="00ED3D62"/>
    <w:rsid w:val="00EE2F6D"/>
    <w:rsid w:val="00EE497C"/>
    <w:rsid w:val="00EE6467"/>
    <w:rsid w:val="00EE6CB2"/>
    <w:rsid w:val="00F02D89"/>
    <w:rsid w:val="00F03C2B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4636D"/>
    <w:rsid w:val="00F470DB"/>
    <w:rsid w:val="00F56413"/>
    <w:rsid w:val="00F568FC"/>
    <w:rsid w:val="00F56ED2"/>
    <w:rsid w:val="00F572BA"/>
    <w:rsid w:val="00F61061"/>
    <w:rsid w:val="00F61AB7"/>
    <w:rsid w:val="00F653B2"/>
    <w:rsid w:val="00F65ACC"/>
    <w:rsid w:val="00F6794C"/>
    <w:rsid w:val="00F70F0E"/>
    <w:rsid w:val="00F71394"/>
    <w:rsid w:val="00F721B0"/>
    <w:rsid w:val="00F7230D"/>
    <w:rsid w:val="00F75B2A"/>
    <w:rsid w:val="00F761FE"/>
    <w:rsid w:val="00F8701F"/>
    <w:rsid w:val="00F91E35"/>
    <w:rsid w:val="00F96419"/>
    <w:rsid w:val="00FA3E67"/>
    <w:rsid w:val="00FA7496"/>
    <w:rsid w:val="00FB1F1C"/>
    <w:rsid w:val="00FC00C6"/>
    <w:rsid w:val="00FC308C"/>
    <w:rsid w:val="00FD6550"/>
    <w:rsid w:val="00FD738E"/>
    <w:rsid w:val="00FE2043"/>
    <w:rsid w:val="00FE669E"/>
    <w:rsid w:val="00FE741A"/>
    <w:rsid w:val="00FF18C8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2CC6F891-BBC3-4EB4-A079-6C5C4E2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C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5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tegy.bg/bg/impact_assessments/tool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BA0D-DEA6-4CD8-A80D-84D99EAF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Note</cp:lastModifiedBy>
  <cp:revision>2</cp:revision>
  <cp:lastPrinted>2026-03-18T13:23:00Z</cp:lastPrinted>
  <dcterms:created xsi:type="dcterms:W3CDTF">2026-04-08T07:12:00Z</dcterms:created>
  <dcterms:modified xsi:type="dcterms:W3CDTF">2026-04-08T07:12:00Z</dcterms:modified>
</cp:coreProperties>
</file>